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2" w:type="dxa"/>
        <w:tblInd w:w="-536" w:type="dxa"/>
        <w:shd w:val="clear" w:color="auto" w:fill="FFFFFF"/>
        <w:tblCellMar>
          <w:left w:w="0" w:type="dxa"/>
          <w:right w:w="0" w:type="dxa"/>
        </w:tblCellMar>
        <w:tblLook w:val="0000" w:firstRow="0" w:lastRow="0" w:firstColumn="0" w:lastColumn="0" w:noHBand="0" w:noVBand="0"/>
      </w:tblPr>
      <w:tblGrid>
        <w:gridCol w:w="4222"/>
        <w:gridCol w:w="5670"/>
      </w:tblGrid>
      <w:tr w:rsidR="00016EEF" w:rsidRPr="00B16D07" w:rsidTr="007D6F22">
        <w:trPr>
          <w:trHeight w:val="1275"/>
        </w:trPr>
        <w:tc>
          <w:tcPr>
            <w:tcW w:w="4222" w:type="dxa"/>
            <w:shd w:val="clear" w:color="auto" w:fill="FFFFFF"/>
          </w:tcPr>
          <w:p w:rsidR="00016EEF" w:rsidRPr="00B16D07" w:rsidRDefault="00016EEF" w:rsidP="00F11ACB">
            <w:pPr>
              <w:spacing w:line="360" w:lineRule="auto"/>
              <w:jc w:val="center"/>
              <w:rPr>
                <w:rFonts w:ascii="Times New Roman" w:hAnsi="Times New Roman"/>
                <w:bCs/>
                <w:sz w:val="24"/>
                <w:szCs w:val="24"/>
              </w:rPr>
            </w:pPr>
            <w:r>
              <w:rPr>
                <w:rFonts w:ascii="Times New Roman" w:hAnsi="Times New Roman"/>
                <w:bCs/>
                <w:sz w:val="24"/>
                <w:szCs w:val="24"/>
              </w:rPr>
              <w:t>UBND HUYỆN NINH GIANG</w:t>
            </w:r>
          </w:p>
          <w:p w:rsidR="00016EEF" w:rsidRPr="00B16D07" w:rsidRDefault="00016EEF" w:rsidP="00F11ACB">
            <w:pPr>
              <w:spacing w:line="360" w:lineRule="auto"/>
              <w:jc w:val="center"/>
              <w:rPr>
                <w:rFonts w:ascii="Times New Roman" w:hAnsi="Times New Roman"/>
                <w:b/>
                <w:bCs/>
                <w:sz w:val="24"/>
                <w:szCs w:val="24"/>
              </w:rPr>
            </w:pPr>
            <w:r w:rsidRPr="00B16D07">
              <w:rPr>
                <w:rFonts w:ascii="Times New Roman" w:hAnsi="Times New Roman"/>
                <w:b/>
                <w:bCs/>
                <w:sz w:val="24"/>
                <w:szCs w:val="24"/>
              </w:rPr>
              <w:t xml:space="preserve">TRƯỜNG THCS </w:t>
            </w:r>
            <w:r>
              <w:rPr>
                <w:rFonts w:ascii="Times New Roman" w:hAnsi="Times New Roman"/>
                <w:b/>
                <w:bCs/>
                <w:sz w:val="24"/>
                <w:szCs w:val="24"/>
              </w:rPr>
              <w:t>HƯNG LONG</w:t>
            </w:r>
          </w:p>
          <w:p w:rsidR="00016EEF" w:rsidRPr="00B16D07" w:rsidRDefault="00016EEF" w:rsidP="00F11ACB">
            <w:pPr>
              <w:spacing w:line="360" w:lineRule="auto"/>
              <w:jc w:val="center"/>
              <w:rPr>
                <w:rFonts w:ascii="Times New Roman" w:hAnsi="Times New Roman"/>
                <w:sz w:val="24"/>
                <w:szCs w:val="24"/>
              </w:rPr>
            </w:pPr>
          </w:p>
          <w:p w:rsidR="00016EEF" w:rsidRPr="00B16D07" w:rsidRDefault="00016EEF" w:rsidP="00F11ACB">
            <w:pPr>
              <w:spacing w:line="360" w:lineRule="auto"/>
              <w:jc w:val="center"/>
              <w:rPr>
                <w:rFonts w:ascii="Times New Roman" w:hAnsi="Times New Roman"/>
                <w:sz w:val="24"/>
                <w:szCs w:val="24"/>
              </w:rPr>
            </w:pPr>
          </w:p>
        </w:tc>
        <w:tc>
          <w:tcPr>
            <w:tcW w:w="5670" w:type="dxa"/>
            <w:shd w:val="clear" w:color="auto" w:fill="FFFFFF"/>
            <w:vAlign w:val="center"/>
          </w:tcPr>
          <w:p w:rsidR="00016EEF" w:rsidRPr="00B16D07" w:rsidRDefault="00016EEF" w:rsidP="00F11ACB">
            <w:pPr>
              <w:spacing w:line="360" w:lineRule="auto"/>
              <w:jc w:val="center"/>
              <w:rPr>
                <w:rFonts w:ascii="Times New Roman" w:hAnsi="Times New Roman"/>
                <w:sz w:val="26"/>
                <w:szCs w:val="24"/>
              </w:rPr>
            </w:pPr>
            <w:r w:rsidRPr="00B16D07">
              <w:rPr>
                <w:rFonts w:ascii="Times New Roman" w:hAnsi="Times New Roman"/>
                <w:b/>
                <w:bCs/>
                <w:sz w:val="26"/>
                <w:szCs w:val="24"/>
              </w:rPr>
              <w:t xml:space="preserve">  CỘNG HÒA XÃ HỘI CHỦ NGHĨA VIỆT </w:t>
            </w:r>
            <w:smartTag w:uri="urn:schemas-microsoft-com:office:smarttags" w:element="country-region">
              <w:smartTag w:uri="urn:schemas-microsoft-com:office:smarttags" w:element="place">
                <w:r w:rsidRPr="00B16D07">
                  <w:rPr>
                    <w:rFonts w:ascii="Times New Roman" w:hAnsi="Times New Roman"/>
                    <w:b/>
                    <w:bCs/>
                    <w:sz w:val="26"/>
                    <w:szCs w:val="24"/>
                  </w:rPr>
                  <w:t>NAM</w:t>
                </w:r>
              </w:smartTag>
            </w:smartTag>
          </w:p>
          <w:p w:rsidR="00016EEF" w:rsidRPr="00B16D07" w:rsidRDefault="00016EEF" w:rsidP="00F11ACB">
            <w:pPr>
              <w:spacing w:line="360" w:lineRule="auto"/>
              <w:jc w:val="center"/>
              <w:outlineLvl w:val="0"/>
              <w:rPr>
                <w:rFonts w:ascii="Times New Roman" w:hAnsi="Times New Roman"/>
                <w:b/>
                <w:bCs/>
                <w:kern w:val="36"/>
                <w:u w:val="single"/>
              </w:rPr>
            </w:pPr>
            <w:r w:rsidRPr="00B16D07">
              <w:rPr>
                <w:rFonts w:ascii="Times New Roman" w:hAnsi="Times New Roman"/>
                <w:b/>
                <w:bCs/>
                <w:kern w:val="36"/>
                <w:u w:val="single"/>
              </w:rPr>
              <w:t>Độc lập – Tự do – Hạnh phúc</w:t>
            </w:r>
          </w:p>
          <w:p w:rsidR="00016EEF" w:rsidRPr="00B16D07" w:rsidRDefault="00016EEF" w:rsidP="00F11ACB">
            <w:pPr>
              <w:spacing w:line="360" w:lineRule="auto"/>
              <w:jc w:val="center"/>
              <w:outlineLvl w:val="0"/>
              <w:rPr>
                <w:rFonts w:ascii="Times New Roman" w:hAnsi="Times New Roman"/>
                <w:b/>
                <w:bCs/>
                <w:kern w:val="36"/>
                <w:u w:val="single"/>
              </w:rPr>
            </w:pPr>
          </w:p>
          <w:p w:rsidR="00016EEF" w:rsidRPr="00B16D07" w:rsidRDefault="00016EEF" w:rsidP="00F11ACB">
            <w:pPr>
              <w:spacing w:line="360" w:lineRule="auto"/>
              <w:jc w:val="center"/>
              <w:rPr>
                <w:rFonts w:ascii="Times New Roman" w:hAnsi="Times New Roman"/>
              </w:rPr>
            </w:pPr>
            <w:r w:rsidRPr="00B16D07">
              <w:rPr>
                <w:rFonts w:ascii="Times New Roman" w:hAnsi="Times New Roman"/>
                <w:i/>
                <w:iCs/>
              </w:rPr>
              <w:t xml:space="preserve">        Hưng Long, ngày </w:t>
            </w:r>
            <w:r>
              <w:rPr>
                <w:rFonts w:ascii="Times New Roman" w:hAnsi="Times New Roman"/>
                <w:i/>
                <w:iCs/>
              </w:rPr>
              <w:t xml:space="preserve">09  </w:t>
            </w:r>
            <w:r w:rsidRPr="00B16D07">
              <w:rPr>
                <w:rFonts w:ascii="Times New Roman" w:hAnsi="Times New Roman"/>
                <w:i/>
                <w:iCs/>
              </w:rPr>
              <w:t xml:space="preserve">tháng </w:t>
            </w:r>
            <w:r>
              <w:rPr>
                <w:rFonts w:ascii="Times New Roman" w:hAnsi="Times New Roman"/>
                <w:i/>
                <w:iCs/>
              </w:rPr>
              <w:t>01</w:t>
            </w:r>
            <w:r w:rsidRPr="00B16D07">
              <w:rPr>
                <w:rFonts w:ascii="Times New Roman" w:hAnsi="Times New Roman"/>
                <w:i/>
                <w:iCs/>
              </w:rPr>
              <w:t>năm 2020</w:t>
            </w:r>
          </w:p>
        </w:tc>
      </w:tr>
    </w:tbl>
    <w:p w:rsidR="00016EEF" w:rsidRPr="008621B0" w:rsidRDefault="00016EEF" w:rsidP="00F11ACB">
      <w:pPr>
        <w:shd w:val="clear" w:color="auto" w:fill="FFFFFF"/>
        <w:spacing w:line="360" w:lineRule="auto"/>
        <w:jc w:val="center"/>
        <w:outlineLvl w:val="3"/>
        <w:rPr>
          <w:rFonts w:ascii="Times New Roman" w:hAnsi="Times New Roman"/>
          <w:b/>
          <w:bCs/>
          <w:sz w:val="36"/>
        </w:rPr>
      </w:pPr>
      <w:r w:rsidRPr="008621B0">
        <w:rPr>
          <w:rFonts w:ascii="Times New Roman" w:hAnsi="Times New Roman"/>
          <w:b/>
          <w:bCs/>
          <w:sz w:val="36"/>
        </w:rPr>
        <w:t>BIÊN BẢ</w:t>
      </w:r>
      <w:r>
        <w:rPr>
          <w:rFonts w:ascii="Times New Roman" w:hAnsi="Times New Roman"/>
          <w:b/>
          <w:bCs/>
          <w:sz w:val="36"/>
        </w:rPr>
        <w:t xml:space="preserve">N </w:t>
      </w:r>
    </w:p>
    <w:p w:rsidR="00016EEF" w:rsidRPr="00E03A8E" w:rsidRDefault="00016EEF" w:rsidP="00F11ACB">
      <w:pPr>
        <w:shd w:val="clear" w:color="auto" w:fill="FFFFFF"/>
        <w:spacing w:line="360" w:lineRule="auto"/>
        <w:jc w:val="center"/>
        <w:rPr>
          <w:rFonts w:ascii="Times New Roman" w:hAnsi="Times New Roman"/>
          <w:b/>
          <w:bCs/>
          <w:szCs w:val="28"/>
        </w:rPr>
      </w:pPr>
      <w:r w:rsidRPr="00E03A8E">
        <w:rPr>
          <w:rFonts w:ascii="Times New Roman" w:hAnsi="Times New Roman"/>
          <w:b/>
          <w:bCs/>
          <w:szCs w:val="28"/>
        </w:rPr>
        <w:t>“Về việc Rà soát kết quả thực hiện kế hoạch chiến lược ( Bổ sung) của trường THCS Hưng Long giai đoạn 2011-2015 và tầm nhìn đến năm 2020.</w:t>
      </w:r>
    </w:p>
    <w:p w:rsidR="00016EEF" w:rsidRPr="00D1419F" w:rsidRDefault="00016EEF" w:rsidP="00F11ACB">
      <w:pPr>
        <w:shd w:val="clear" w:color="auto" w:fill="FFFFFF"/>
        <w:spacing w:line="360" w:lineRule="auto"/>
        <w:ind w:firstLine="567"/>
        <w:rPr>
          <w:rFonts w:ascii="Times New Roman" w:hAnsi="Times New Roman"/>
          <w:bCs/>
          <w:szCs w:val="28"/>
        </w:rPr>
      </w:pPr>
      <w:r w:rsidRPr="00D1419F">
        <w:rPr>
          <w:rFonts w:ascii="Times New Roman" w:hAnsi="Times New Roman"/>
          <w:bCs/>
          <w:szCs w:val="28"/>
        </w:rPr>
        <w:t>Thời gian: Vào hồi 13h30  Ngày 10 /01/2020 tại phòng</w:t>
      </w:r>
      <w:r>
        <w:rPr>
          <w:rFonts w:ascii="Times New Roman" w:hAnsi="Times New Roman"/>
          <w:bCs/>
          <w:szCs w:val="28"/>
        </w:rPr>
        <w:t xml:space="preserve"> họp HĐSP</w:t>
      </w:r>
      <w:r w:rsidRPr="00D1419F">
        <w:rPr>
          <w:rFonts w:ascii="Times New Roman" w:hAnsi="Times New Roman"/>
          <w:bCs/>
          <w:szCs w:val="28"/>
        </w:rPr>
        <w:t xml:space="preserve"> trường THCS Hưng Long </w:t>
      </w:r>
      <w:r>
        <w:rPr>
          <w:rFonts w:ascii="Times New Roman" w:hAnsi="Times New Roman"/>
          <w:bCs/>
          <w:szCs w:val="28"/>
        </w:rPr>
        <w:t xml:space="preserve"> đã tiến hành Rà soát kế</w:t>
      </w:r>
      <w:r w:rsidRPr="00D1419F">
        <w:rPr>
          <w:rFonts w:ascii="Times New Roman" w:hAnsi="Times New Roman"/>
          <w:bCs/>
          <w:szCs w:val="28"/>
        </w:rPr>
        <w:t>t quả thực hiện chiến lược qua 5 năm 2015-2020  của nhà trường</w:t>
      </w:r>
      <w:r>
        <w:rPr>
          <w:rFonts w:ascii="Times New Roman" w:hAnsi="Times New Roman"/>
          <w:bCs/>
          <w:szCs w:val="28"/>
        </w:rPr>
        <w:t>.</w:t>
      </w:r>
    </w:p>
    <w:p w:rsidR="00016EEF" w:rsidRPr="00E03A8E" w:rsidRDefault="00016EEF" w:rsidP="00F11ACB">
      <w:pPr>
        <w:spacing w:line="360" w:lineRule="auto"/>
        <w:ind w:firstLine="567"/>
        <w:jc w:val="both"/>
        <w:rPr>
          <w:rFonts w:ascii="Times New Roman" w:hAnsi="Times New Roman"/>
          <w:bCs/>
          <w:szCs w:val="28"/>
        </w:rPr>
      </w:pPr>
      <w:r w:rsidRPr="00E03A8E">
        <w:rPr>
          <w:rFonts w:ascii="Times New Roman" w:hAnsi="Times New Roman"/>
          <w:bCs/>
          <w:szCs w:val="28"/>
        </w:rPr>
        <w:t>Thành phần : Toàn thể giáo viên trong Hội đồng sư phạm nhà trường</w:t>
      </w:r>
    </w:p>
    <w:p w:rsidR="00016EEF" w:rsidRPr="00E03A8E" w:rsidRDefault="00016EEF" w:rsidP="00F11ACB">
      <w:pPr>
        <w:spacing w:line="360" w:lineRule="auto"/>
        <w:ind w:firstLine="567"/>
        <w:jc w:val="both"/>
        <w:rPr>
          <w:rFonts w:ascii="Times New Roman" w:hAnsi="Times New Roman"/>
          <w:bCs/>
          <w:szCs w:val="28"/>
        </w:rPr>
      </w:pPr>
      <w:r w:rsidRPr="00E03A8E">
        <w:rPr>
          <w:rFonts w:ascii="Times New Roman" w:hAnsi="Times New Roman"/>
          <w:bCs/>
          <w:szCs w:val="28"/>
        </w:rPr>
        <w:t>Chủ tọa : Đồng chí Nguyễn Thị Nhuần – HT-Chủ tịch hội đồng trường</w:t>
      </w:r>
    </w:p>
    <w:p w:rsidR="00016EEF" w:rsidRPr="001B5C37" w:rsidRDefault="00016EEF" w:rsidP="00F11ACB">
      <w:pPr>
        <w:spacing w:line="360" w:lineRule="auto"/>
        <w:ind w:firstLine="567"/>
        <w:jc w:val="both"/>
        <w:rPr>
          <w:rFonts w:ascii="Times New Roman" w:hAnsi="Times New Roman"/>
          <w:bCs/>
          <w:szCs w:val="28"/>
        </w:rPr>
      </w:pPr>
      <w:r w:rsidRPr="00E03A8E">
        <w:rPr>
          <w:rFonts w:ascii="Times New Roman" w:hAnsi="Times New Roman"/>
          <w:bCs/>
          <w:szCs w:val="28"/>
        </w:rPr>
        <w:t>Thư ký</w:t>
      </w:r>
      <w:r w:rsidRPr="001B5C37">
        <w:rPr>
          <w:rFonts w:ascii="Times New Roman" w:hAnsi="Times New Roman"/>
          <w:bCs/>
          <w:szCs w:val="28"/>
        </w:rPr>
        <w:t xml:space="preserve"> : Đồng chí Đặng Thị Hiền - Thư ký hội đồng trường</w:t>
      </w:r>
    </w:p>
    <w:p w:rsidR="00016EEF" w:rsidRPr="00BB21EF" w:rsidRDefault="00016EEF" w:rsidP="00F11ACB">
      <w:pPr>
        <w:pStyle w:val="NormalWeb"/>
        <w:shd w:val="clear" w:color="auto" w:fill="FFFFFF"/>
        <w:spacing w:before="0" w:beforeAutospacing="0" w:after="0" w:afterAutospacing="0" w:line="360" w:lineRule="auto"/>
        <w:ind w:left="360"/>
        <w:jc w:val="both"/>
        <w:rPr>
          <w:b/>
          <w:bCs/>
          <w:sz w:val="28"/>
          <w:szCs w:val="28"/>
        </w:rPr>
      </w:pPr>
      <w:r>
        <w:rPr>
          <w:rStyle w:val="Strong"/>
          <w:sz w:val="28"/>
          <w:szCs w:val="28"/>
        </w:rPr>
        <w:t>I.ĐÁNH GIÁ KẾT QUẢ THỰC HIỆN CHIẾN LƯỢC.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0"/>
        <w:gridCol w:w="3032"/>
      </w:tblGrid>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
                <w:bCs/>
                <w:sz w:val="28"/>
                <w:szCs w:val="28"/>
              </w:rPr>
            </w:pPr>
            <w:r w:rsidRPr="00C16069">
              <w:rPr>
                <w:rFonts w:ascii="Times New Roman" w:hAnsi="Times New Roman"/>
                <w:b/>
                <w:bCs/>
                <w:sz w:val="28"/>
                <w:szCs w:val="28"/>
              </w:rPr>
              <w:t>Kế hoạch</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
                <w:bCs/>
                <w:sz w:val="28"/>
                <w:szCs w:val="28"/>
              </w:rPr>
            </w:pPr>
            <w:r w:rsidRPr="00C16069">
              <w:rPr>
                <w:rFonts w:ascii="Times New Roman" w:hAnsi="Times New Roman"/>
                <w:b/>
                <w:bCs/>
                <w:sz w:val="28"/>
                <w:szCs w:val="28"/>
              </w:rPr>
              <w:t>Kết quả</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
                <w:bCs/>
                <w:sz w:val="28"/>
                <w:szCs w:val="28"/>
              </w:rPr>
            </w:pPr>
            <w:r w:rsidRPr="00C16069">
              <w:rPr>
                <w:rFonts w:ascii="Times New Roman" w:hAnsi="Times New Roman"/>
                <w:b/>
                <w:bCs/>
                <w:sz w:val="28"/>
                <w:szCs w:val="28"/>
              </w:rPr>
              <w:t>Đánh giá</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1</w:t>
            </w:r>
            <w:r w:rsidRPr="00C16069">
              <w:rPr>
                <w:rFonts w:ascii="Times New Roman" w:hAnsi="Times New Roman"/>
                <w:b/>
                <w:bCs/>
                <w:sz w:val="28"/>
                <w:szCs w:val="28"/>
              </w:rPr>
              <w:t xml:space="preserve">. </w:t>
            </w:r>
            <w:r w:rsidRPr="00C16069">
              <w:rPr>
                <w:rFonts w:ascii="Times New Roman" w:hAnsi="Times New Roman"/>
                <w:bCs/>
                <w:sz w:val="28"/>
                <w:szCs w:val="28"/>
              </w:rPr>
              <w:t>Môi trường học tập có nề nếp…học sinh có cơ hội phát triển tài năng</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
                <w:bCs/>
                <w:sz w:val="28"/>
                <w:szCs w:val="28"/>
              </w:rPr>
            </w:pP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2. Năng lực chuyên môn  CBGV-NV  được đánh giá khá giỏi trên 80 %</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-100% GVNV được đánh giá có năng lực chuyên môn từ khá trở lên. Nhiều GV đạt GV dạy giỏi cấp Huyện, có 04 GV đạt GV dạy giỏi cấp Tỉnh (Âm nhạc, Tiếng anh, Địa lý).</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-Vượt kế hoạch chiến lược</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 xml:space="preserve">3.100% CBGV-NV sử dụng thành thọa máy vi tính. Phát huy hiệu quả </w:t>
            </w:r>
            <w:r w:rsidRPr="00C16069">
              <w:rPr>
                <w:rFonts w:ascii="Times New Roman" w:hAnsi="Times New Roman"/>
                <w:bCs/>
                <w:sz w:val="28"/>
                <w:szCs w:val="28"/>
              </w:rPr>
              <w:lastRenderedPageBreak/>
              <w:t>ứng dụng CNTT trong giáng dạy và quản lý</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lastRenderedPageBreak/>
              <w:t>4. Phấn đấu đến 2015 có 68% GV có trình độ Đại học</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Đến năm 2020 trường có 85,7 % GV có trình độ Đại học</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5. Phấn đấu đến 2015 có 78% CBGV-NV là đảng viên</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Đến 2020 có 84,2% CBGV-NV là đảng viên</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6. 100% CBGV-NV không vi phạm pháp luật</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-100% CBGV-NV không vi phạm pháp luật</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100% CBGV-NV không vi phạm pháp luật</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7. Phấn đấu trường đứng tốp 5 đến tốp 10/29 trường trong Huyện</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 Năm đạt năm không đạt</w:t>
            </w: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Chưa thật đạt</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8. Ổn định 08 lớp có từ 210 đến 225 học sinh</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 xml:space="preserve"> Giữ vững qui mô trường lớp: 08 lớp có từ 210 đến 260 học sinh</w:t>
            </w: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Trên 60  học sinh có học lực khá giỏi, trong đó có 10-15% học lực giỏi</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Tỉ lệ học sinh có học lực yếu dưới 2%, không có học sinh kém</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Học sinh giỏi Huyện đạt 20 đến 25 giải , cấp Tỉnh có từ 01 đến 02 giải</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Học sinh giỏi cấp Tỉnh chỉ có ở thi KHKT chưa có học sinh giỏi Tỉnh môn văn hóa</w:t>
            </w: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Chưa thật đạt</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Thi vàoTHPT công lập hàng năm đạt từ 45 đến 55%</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lastRenderedPageBreak/>
              <w:t>Có 90% học sinh có hạnh kiểm khá tốt</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tc>
      </w:tr>
      <w:tr w:rsidR="00016EEF" w:rsidRPr="00C16069" w:rsidTr="007D6F22">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Về cơ sở vật chất:</w:t>
            </w: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-Tăng cường mua sắm trang thiết bị phục vụ cho giảng dạy và điều kiện cho làm việc cho CBGV-NV</w:t>
            </w: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 Tham mưu với các cấp xây dựng nhà đa năng, mở rộng diện tích sân tập</w:t>
            </w:r>
          </w:p>
        </w:tc>
        <w:tc>
          <w:tcPr>
            <w:tcW w:w="3096" w:type="dxa"/>
            <w:shd w:val="clear" w:color="auto" w:fill="auto"/>
          </w:tcPr>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-Đã mở rộng diện tích sân tập.</w:t>
            </w: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 Đã có Nghị quyết của BCH đảng ủy XD nhà đa năng theo lộ trình 2020-2025</w:t>
            </w:r>
          </w:p>
        </w:tc>
        <w:tc>
          <w:tcPr>
            <w:tcW w:w="3096" w:type="dxa"/>
            <w:shd w:val="clear" w:color="auto" w:fill="auto"/>
          </w:tcPr>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Đạt kế hoạch</w:t>
            </w: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spacing w:before="0" w:beforeAutospacing="0" w:after="0" w:afterAutospacing="0" w:line="360" w:lineRule="auto"/>
              <w:jc w:val="both"/>
              <w:rPr>
                <w:rFonts w:ascii="Times New Roman" w:hAnsi="Times New Roman"/>
                <w:bCs/>
                <w:sz w:val="28"/>
                <w:szCs w:val="28"/>
              </w:rPr>
            </w:pPr>
          </w:p>
          <w:p w:rsidR="00016EEF" w:rsidRPr="00C16069" w:rsidRDefault="00016EEF" w:rsidP="00F11ACB">
            <w:pPr>
              <w:pStyle w:val="Heading1"/>
              <w:numPr>
                <w:ilvl w:val="0"/>
                <w:numId w:val="1"/>
              </w:numPr>
              <w:spacing w:before="0" w:beforeAutospacing="0" w:after="0" w:afterAutospacing="0" w:line="360" w:lineRule="auto"/>
              <w:jc w:val="both"/>
              <w:rPr>
                <w:rFonts w:ascii="Times New Roman" w:hAnsi="Times New Roman"/>
                <w:bCs/>
                <w:sz w:val="28"/>
                <w:szCs w:val="28"/>
              </w:rPr>
            </w:pPr>
            <w:r w:rsidRPr="00C16069">
              <w:rPr>
                <w:rFonts w:ascii="Times New Roman" w:hAnsi="Times New Roman"/>
                <w:bCs/>
                <w:sz w:val="28"/>
                <w:szCs w:val="28"/>
              </w:rPr>
              <w:t>Chưa thật đạt</w:t>
            </w:r>
          </w:p>
        </w:tc>
      </w:tr>
    </w:tbl>
    <w:p w:rsidR="00016EEF" w:rsidRDefault="00016EEF" w:rsidP="00F11ACB">
      <w:pPr>
        <w:pStyle w:val="Heading1"/>
        <w:spacing w:before="0" w:beforeAutospacing="0" w:after="0" w:afterAutospacing="0" w:line="360" w:lineRule="auto"/>
        <w:jc w:val="both"/>
        <w:rPr>
          <w:rFonts w:ascii="Times New Roman" w:hAnsi="Times New Roman"/>
          <w:b/>
          <w:bCs/>
          <w:sz w:val="28"/>
          <w:szCs w:val="28"/>
        </w:rPr>
      </w:pPr>
      <w:r>
        <w:rPr>
          <w:rFonts w:ascii="Times New Roman" w:hAnsi="Times New Roman"/>
          <w:b/>
          <w:bCs/>
          <w:sz w:val="28"/>
          <w:szCs w:val="28"/>
        </w:rPr>
        <w:t>II. KẾT LUẬN.</w:t>
      </w:r>
    </w:p>
    <w:p w:rsidR="00016EEF" w:rsidRDefault="00016EEF" w:rsidP="00F11ACB">
      <w:pPr>
        <w:pStyle w:val="Heading1"/>
        <w:numPr>
          <w:ilvl w:val="0"/>
          <w:numId w:val="2"/>
        </w:numPr>
        <w:spacing w:before="0" w:beforeAutospacing="0" w:after="0" w:afterAutospacing="0" w:line="360" w:lineRule="auto"/>
        <w:jc w:val="both"/>
        <w:rPr>
          <w:rFonts w:ascii="Times New Roman" w:hAnsi="Times New Roman"/>
          <w:b/>
          <w:bCs/>
          <w:sz w:val="28"/>
          <w:szCs w:val="28"/>
        </w:rPr>
      </w:pPr>
      <w:r>
        <w:rPr>
          <w:rFonts w:ascii="Times New Roman" w:hAnsi="Times New Roman"/>
          <w:b/>
          <w:bCs/>
          <w:sz w:val="28"/>
          <w:szCs w:val="28"/>
        </w:rPr>
        <w:t>Ưu điểm.</w:t>
      </w:r>
    </w:p>
    <w:p w:rsidR="00016EEF" w:rsidRDefault="00016EEF" w:rsidP="00F11ACB">
      <w:pPr>
        <w:shd w:val="clear" w:color="auto" w:fill="FFFFFF"/>
        <w:spacing w:line="360" w:lineRule="auto"/>
        <w:ind w:firstLine="360"/>
        <w:rPr>
          <w:rFonts w:ascii="Times New Roman" w:hAnsi="Times New Roman"/>
          <w:bCs/>
          <w:szCs w:val="28"/>
        </w:rPr>
      </w:pPr>
      <w:r w:rsidRPr="00BB21EF">
        <w:rPr>
          <w:rFonts w:ascii="Times New Roman" w:hAnsi="Times New Roman"/>
          <w:bCs/>
          <w:szCs w:val="28"/>
        </w:rPr>
        <w:t>Về cơ bản nhà trường đã đạt các chỉ tiêu  kế hoạch chiến lược ( Bổ sung) của trường THCS Hưng Long giai đoạn 2011-2015 và tầm nhìn đến năm 2020.</w:t>
      </w:r>
    </w:p>
    <w:p w:rsidR="00016EEF" w:rsidRPr="00BB21EF" w:rsidRDefault="00016EEF" w:rsidP="00F11ACB">
      <w:pPr>
        <w:numPr>
          <w:ilvl w:val="0"/>
          <w:numId w:val="2"/>
        </w:numPr>
        <w:shd w:val="clear" w:color="auto" w:fill="FFFFFF"/>
        <w:spacing w:line="360" w:lineRule="auto"/>
        <w:rPr>
          <w:rFonts w:ascii="Times New Roman" w:hAnsi="Times New Roman"/>
          <w:b/>
          <w:bCs/>
          <w:szCs w:val="28"/>
        </w:rPr>
      </w:pPr>
      <w:r w:rsidRPr="00BB21EF">
        <w:rPr>
          <w:rFonts w:ascii="Times New Roman" w:hAnsi="Times New Roman"/>
          <w:b/>
          <w:bCs/>
          <w:szCs w:val="28"/>
        </w:rPr>
        <w:t>Hạn chế.</w:t>
      </w:r>
    </w:p>
    <w:p w:rsidR="00016EEF" w:rsidRPr="00BB21EF" w:rsidRDefault="00016EEF" w:rsidP="00F11ACB">
      <w:pPr>
        <w:pStyle w:val="Heading1"/>
        <w:spacing w:before="0" w:beforeAutospacing="0" w:after="0" w:afterAutospacing="0" w:line="360" w:lineRule="auto"/>
        <w:jc w:val="both"/>
        <w:rPr>
          <w:rFonts w:ascii="Times New Roman" w:hAnsi="Times New Roman"/>
          <w:bCs/>
          <w:sz w:val="28"/>
          <w:szCs w:val="28"/>
        </w:rPr>
      </w:pPr>
      <w:r w:rsidRPr="00BB21EF">
        <w:rPr>
          <w:rFonts w:ascii="Times New Roman" w:hAnsi="Times New Roman"/>
          <w:bCs/>
          <w:sz w:val="28"/>
          <w:szCs w:val="28"/>
        </w:rPr>
        <w:t>- Chất lượng giáo dục mũi nhọn của nhà trường chưa có sự phát triển, chưa có học sinh đạt giải cao trong các kỳ thi học sinh giỏi cấp Huyện , chưa có học sinh đạt học sinh giỏi cấp Tỉnh bộ môn văn hóa.</w:t>
      </w:r>
    </w:p>
    <w:p w:rsidR="00016EEF" w:rsidRPr="00BB21EF" w:rsidRDefault="00016EEF" w:rsidP="00F11ACB">
      <w:pPr>
        <w:pStyle w:val="Heading1"/>
        <w:spacing w:before="0" w:beforeAutospacing="0" w:after="0" w:afterAutospacing="0" w:line="360" w:lineRule="auto"/>
        <w:jc w:val="both"/>
        <w:rPr>
          <w:rFonts w:ascii="Times New Roman" w:hAnsi="Times New Roman"/>
          <w:bCs/>
          <w:sz w:val="28"/>
          <w:szCs w:val="28"/>
        </w:rPr>
      </w:pPr>
      <w:r w:rsidRPr="00BB21EF">
        <w:rPr>
          <w:rFonts w:ascii="Times New Roman" w:hAnsi="Times New Roman"/>
          <w:bCs/>
          <w:sz w:val="28"/>
          <w:szCs w:val="28"/>
        </w:rPr>
        <w:t>- Tỉ lệ học sinh thi đỗ vào trường THPT hệ công lập so với mặt bằng chung của Huyện chưa cao.</w:t>
      </w:r>
    </w:p>
    <w:p w:rsidR="00016EEF" w:rsidRPr="003125EE" w:rsidRDefault="00016EEF" w:rsidP="00F11ACB">
      <w:pPr>
        <w:pStyle w:val="Heading1"/>
        <w:spacing w:before="0" w:beforeAutospacing="0" w:after="0" w:afterAutospacing="0" w:line="360" w:lineRule="auto"/>
        <w:jc w:val="both"/>
        <w:rPr>
          <w:rFonts w:ascii="Times New Roman" w:hAnsi="Times New Roman"/>
          <w:bCs/>
          <w:sz w:val="28"/>
          <w:szCs w:val="28"/>
        </w:rPr>
      </w:pPr>
      <w:r w:rsidRPr="00BB21EF">
        <w:rPr>
          <w:rFonts w:ascii="Times New Roman" w:hAnsi="Times New Roman"/>
          <w:bCs/>
          <w:sz w:val="28"/>
          <w:szCs w:val="28"/>
        </w:rPr>
        <w:t>- Công tác tư vấn hướng nghiệp cho học sinh khối 9 chưa hiệu quả</w:t>
      </w:r>
      <w:r>
        <w:rPr>
          <w:rFonts w:ascii="Times New Roman" w:hAnsi="Times New Roman"/>
          <w:bCs/>
          <w:sz w:val="28"/>
          <w:szCs w:val="28"/>
        </w:rPr>
        <w:t>.</w:t>
      </w:r>
    </w:p>
    <w:p w:rsidR="00016EEF" w:rsidRPr="00FC12A9" w:rsidRDefault="00016EEF" w:rsidP="00F11ACB">
      <w:pPr>
        <w:pStyle w:val="NormalWeb"/>
        <w:shd w:val="clear" w:color="auto" w:fill="FFFFFF"/>
        <w:spacing w:before="0" w:beforeAutospacing="0" w:after="0" w:afterAutospacing="0" w:line="360" w:lineRule="auto"/>
        <w:ind w:firstLine="420"/>
        <w:jc w:val="both"/>
        <w:rPr>
          <w:b/>
          <w:sz w:val="28"/>
          <w:szCs w:val="28"/>
          <w:lang w:val="pt-BR"/>
        </w:rPr>
      </w:pPr>
      <w:r>
        <w:rPr>
          <w:b/>
          <w:sz w:val="28"/>
          <w:szCs w:val="28"/>
          <w:lang w:val="pt-BR"/>
        </w:rPr>
        <w:t>III. BÀI HỌC KINH NGHIỆM</w:t>
      </w:r>
      <w:r w:rsidRPr="00FC12A9">
        <w:rPr>
          <w:b/>
          <w:sz w:val="28"/>
          <w:szCs w:val="28"/>
          <w:lang w:val="pt-BR"/>
        </w:rPr>
        <w:t>.</w:t>
      </w:r>
    </w:p>
    <w:p w:rsidR="00016EEF" w:rsidRPr="00FC12A9" w:rsidRDefault="00016EEF" w:rsidP="00F11ACB">
      <w:pPr>
        <w:pStyle w:val="NormalWeb"/>
        <w:shd w:val="clear" w:color="auto" w:fill="FFFFFF"/>
        <w:spacing w:before="0" w:beforeAutospacing="0" w:after="0" w:afterAutospacing="0" w:line="360" w:lineRule="auto"/>
        <w:ind w:firstLine="420"/>
        <w:jc w:val="both"/>
        <w:rPr>
          <w:sz w:val="28"/>
          <w:szCs w:val="28"/>
          <w:lang w:val="pt-BR"/>
        </w:rPr>
      </w:pPr>
      <w:r w:rsidRPr="00FC12A9">
        <w:rPr>
          <w:sz w:val="28"/>
          <w:szCs w:val="28"/>
          <w:lang w:val="pt-BR"/>
        </w:rPr>
        <w:t>1.CBGV-NV chú ý hơn việc tự bồi dưỡng về chuyên môn nghiệp vụ, coi chất lượng của học sinh là thức đo uy tín của giáo viên.</w:t>
      </w:r>
    </w:p>
    <w:p w:rsidR="00016EEF" w:rsidRPr="00FC12A9" w:rsidRDefault="00016EEF" w:rsidP="00F11ACB">
      <w:pPr>
        <w:pStyle w:val="NormalWeb"/>
        <w:shd w:val="clear" w:color="auto" w:fill="FFFFFF"/>
        <w:spacing w:before="0" w:beforeAutospacing="0" w:after="0" w:afterAutospacing="0" w:line="360" w:lineRule="auto"/>
        <w:ind w:firstLine="420"/>
        <w:jc w:val="both"/>
        <w:rPr>
          <w:sz w:val="28"/>
          <w:szCs w:val="28"/>
          <w:lang w:val="pt-BR"/>
        </w:rPr>
      </w:pPr>
      <w:r w:rsidRPr="00FC12A9">
        <w:rPr>
          <w:sz w:val="28"/>
          <w:szCs w:val="28"/>
          <w:lang w:val="pt-BR"/>
        </w:rPr>
        <w:t>2. Nhà trường làm tốt hơn công tác tuyên truyền, để PHHS động viên con em học tập tốt hơn ngay cả những ngày đầu năm học.</w:t>
      </w:r>
    </w:p>
    <w:p w:rsidR="00016EEF" w:rsidRPr="00FC12A9" w:rsidRDefault="00016EEF" w:rsidP="00F11ACB">
      <w:pPr>
        <w:pStyle w:val="NormalWeb"/>
        <w:shd w:val="clear" w:color="auto" w:fill="FFFFFF"/>
        <w:spacing w:before="0" w:beforeAutospacing="0" w:after="0" w:afterAutospacing="0" w:line="360" w:lineRule="auto"/>
        <w:ind w:firstLine="420"/>
        <w:jc w:val="both"/>
        <w:rPr>
          <w:sz w:val="28"/>
          <w:szCs w:val="28"/>
          <w:lang w:val="pt-BR"/>
        </w:rPr>
      </w:pPr>
      <w:r w:rsidRPr="00FC12A9">
        <w:rPr>
          <w:sz w:val="28"/>
          <w:szCs w:val="28"/>
          <w:lang w:val="pt-BR"/>
        </w:rPr>
        <w:t>3. Tìm giải pháp nâng cao chất lượng dạy và học của CBGV và học sinh từ cấp tổ chuyên môn đến cấp trường.</w:t>
      </w:r>
    </w:p>
    <w:p w:rsidR="00016EEF" w:rsidRPr="003125EE" w:rsidRDefault="00016EEF" w:rsidP="00F11ACB">
      <w:pPr>
        <w:spacing w:line="360" w:lineRule="auto"/>
        <w:ind w:firstLine="539"/>
        <w:jc w:val="both"/>
        <w:rPr>
          <w:rFonts w:ascii="Times New Roman" w:hAnsi="Times New Roman"/>
          <w:szCs w:val="28"/>
        </w:rPr>
      </w:pPr>
      <w:r w:rsidRPr="003125EE">
        <w:rPr>
          <w:rFonts w:ascii="Times New Roman" w:hAnsi="Times New Roman"/>
          <w:szCs w:val="28"/>
        </w:rPr>
        <w:lastRenderedPageBreak/>
        <w:t>4. Làm tốt công tác tư vấn hướng nghiệp cho học sinh khố</w:t>
      </w:r>
      <w:r>
        <w:rPr>
          <w:rFonts w:ascii="Times New Roman" w:hAnsi="Times New Roman"/>
          <w:szCs w:val="28"/>
        </w:rPr>
        <w:t>i 9.</w:t>
      </w:r>
    </w:p>
    <w:p w:rsidR="00016EEF" w:rsidRDefault="00016EEF" w:rsidP="00F11ACB">
      <w:pPr>
        <w:shd w:val="clear" w:color="auto" w:fill="FFFFFF"/>
        <w:spacing w:line="360" w:lineRule="auto"/>
        <w:ind w:firstLine="539"/>
        <w:rPr>
          <w:rFonts w:ascii="Times New Roman" w:hAnsi="Times New Roman"/>
          <w:bCs/>
          <w:szCs w:val="28"/>
        </w:rPr>
      </w:pPr>
      <w:r w:rsidRPr="003125EE">
        <w:rPr>
          <w:rFonts w:ascii="Times New Roman" w:hAnsi="Times New Roman"/>
          <w:szCs w:val="28"/>
        </w:rPr>
        <w:t>Trên đây</w:t>
      </w:r>
      <w:r>
        <w:rPr>
          <w:rFonts w:ascii="Times New Roman" w:hAnsi="Times New Roman"/>
          <w:szCs w:val="28"/>
        </w:rPr>
        <w:t>, là  kết quả</w:t>
      </w:r>
      <w:r w:rsidRPr="003125EE">
        <w:rPr>
          <w:rFonts w:ascii="Times New Roman" w:hAnsi="Times New Roman"/>
          <w:szCs w:val="28"/>
        </w:rPr>
        <w:t xml:space="preserve"> rà soát</w:t>
      </w:r>
      <w:r w:rsidRPr="001B5C37">
        <w:rPr>
          <w:szCs w:val="28"/>
        </w:rPr>
        <w:t xml:space="preserve"> </w:t>
      </w:r>
      <w:r w:rsidRPr="003125EE">
        <w:rPr>
          <w:rFonts w:ascii="Times New Roman" w:hAnsi="Times New Roman"/>
          <w:bCs/>
          <w:szCs w:val="28"/>
        </w:rPr>
        <w:t>kế hoạch chiến lược ( Bổ sung) của trường THCS Hưng Long giai đoạn 2011-2015 và tầm nhìn đến năm 2020.</w:t>
      </w:r>
      <w:r>
        <w:rPr>
          <w:rFonts w:ascii="Times New Roman" w:hAnsi="Times New Roman"/>
          <w:bCs/>
          <w:szCs w:val="28"/>
        </w:rPr>
        <w:t xml:space="preserve"> Nhà trường căn cứ vào kết quả rà soát này để  làm căn cứ xây dựng chiến lược phát triển nhà trường giai đoạn 2020-2025 và tầm nhìn đến năm 2030.</w:t>
      </w:r>
    </w:p>
    <w:p w:rsidR="00016EEF" w:rsidRDefault="00016EEF" w:rsidP="00F11ACB">
      <w:pPr>
        <w:shd w:val="clear" w:color="auto" w:fill="FFFFFF"/>
        <w:spacing w:line="360" w:lineRule="auto"/>
        <w:ind w:firstLine="539"/>
        <w:rPr>
          <w:rFonts w:ascii="Times New Roman" w:hAnsi="Times New Roman"/>
          <w:bCs/>
          <w:szCs w:val="28"/>
        </w:rPr>
      </w:pPr>
      <w:r>
        <w:rPr>
          <w:rFonts w:ascii="Times New Roman" w:hAnsi="Times New Roman"/>
          <w:bCs/>
          <w:szCs w:val="28"/>
        </w:rPr>
        <w:t xml:space="preserve">                            Cuộc họp kết thúc vào hồi 17h cùng ngày</w:t>
      </w:r>
    </w:p>
    <w:p w:rsidR="00016EEF" w:rsidRDefault="00016EEF" w:rsidP="00F11ACB">
      <w:pPr>
        <w:shd w:val="clear" w:color="auto" w:fill="FFFFFF"/>
        <w:spacing w:line="360" w:lineRule="auto"/>
        <w:ind w:firstLine="539"/>
        <w:rPr>
          <w:rFonts w:ascii="Times New Roman" w:hAnsi="Times New Roman"/>
          <w:bCs/>
          <w:szCs w:val="28"/>
        </w:rPr>
      </w:pPr>
    </w:p>
    <w:tbl>
      <w:tblPr>
        <w:tblW w:w="0" w:type="auto"/>
        <w:tblLook w:val="04A0" w:firstRow="1" w:lastRow="0" w:firstColumn="1" w:lastColumn="0" w:noHBand="0" w:noVBand="1"/>
      </w:tblPr>
      <w:tblGrid>
        <w:gridCol w:w="4536"/>
        <w:gridCol w:w="4536"/>
      </w:tblGrid>
      <w:tr w:rsidR="00016EEF" w:rsidTr="007D6F22">
        <w:tc>
          <w:tcPr>
            <w:tcW w:w="4644" w:type="dxa"/>
            <w:shd w:val="clear" w:color="auto" w:fill="auto"/>
          </w:tcPr>
          <w:p w:rsidR="00016EEF" w:rsidRPr="00C16069" w:rsidRDefault="00016EEF" w:rsidP="00F11ACB">
            <w:pPr>
              <w:spacing w:line="360" w:lineRule="auto"/>
              <w:jc w:val="center"/>
              <w:rPr>
                <w:rFonts w:ascii="Times New Roman" w:eastAsia="Times New Roman" w:hAnsi="Times New Roman"/>
                <w:b/>
              </w:rPr>
            </w:pPr>
            <w:r w:rsidRPr="00C16069">
              <w:rPr>
                <w:rFonts w:ascii="Times New Roman" w:eastAsia="Times New Roman" w:hAnsi="Times New Roman"/>
                <w:b/>
              </w:rPr>
              <w:t>Thư ký</w:t>
            </w:r>
          </w:p>
        </w:tc>
        <w:tc>
          <w:tcPr>
            <w:tcW w:w="4644" w:type="dxa"/>
            <w:shd w:val="clear" w:color="auto" w:fill="auto"/>
          </w:tcPr>
          <w:p w:rsidR="00016EEF" w:rsidRPr="00C16069" w:rsidRDefault="00016EEF" w:rsidP="00F11ACB">
            <w:pPr>
              <w:spacing w:line="360" w:lineRule="auto"/>
              <w:jc w:val="center"/>
              <w:rPr>
                <w:rFonts w:ascii="Times New Roman" w:eastAsia="Times New Roman" w:hAnsi="Times New Roman"/>
                <w:b/>
              </w:rPr>
            </w:pPr>
            <w:r w:rsidRPr="00C16069">
              <w:rPr>
                <w:rFonts w:ascii="Times New Roman" w:eastAsia="Times New Roman" w:hAnsi="Times New Roman"/>
                <w:b/>
              </w:rPr>
              <w:t>Chủ tọa</w:t>
            </w:r>
          </w:p>
        </w:tc>
      </w:tr>
    </w:tbl>
    <w:p w:rsidR="00016EEF" w:rsidRDefault="00016EEF" w:rsidP="00F11ACB">
      <w:pPr>
        <w:spacing w:line="360" w:lineRule="auto"/>
      </w:pPr>
    </w:p>
    <w:p w:rsidR="002007CB" w:rsidRDefault="002007CB" w:rsidP="00F11ACB">
      <w:pPr>
        <w:spacing w:line="360" w:lineRule="auto"/>
      </w:pPr>
      <w:bookmarkStart w:id="0" w:name="_GoBack"/>
      <w:bookmarkEnd w:id="0"/>
    </w:p>
    <w:sectPr w:rsidR="002007CB" w:rsidSect="00016EEF">
      <w:footerReference w:type="even" r:id="rId7"/>
      <w:footerReference w:type="default" r:id="rId8"/>
      <w:type w:val="continuous"/>
      <w:pgSz w:w="11907" w:h="16840" w:code="9"/>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1ACB">
      <w:r>
        <w:separator/>
      </w:r>
    </w:p>
  </w:endnote>
  <w:endnote w:type="continuationSeparator" w:id="0">
    <w:p w:rsidR="00000000" w:rsidRDefault="00F1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UTMSwiss721Black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16" w:rsidRDefault="00016EEF" w:rsidP="00663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D16" w:rsidRDefault="00F11ACB" w:rsidP="00663D1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69" w:rsidRDefault="00016EEF">
    <w:pPr>
      <w:pStyle w:val="Footer"/>
      <w:jc w:val="center"/>
    </w:pPr>
    <w:r>
      <w:fldChar w:fldCharType="begin"/>
    </w:r>
    <w:r>
      <w:instrText xml:space="preserve"> PAGE   \* MERGEFORMAT </w:instrText>
    </w:r>
    <w:r>
      <w:fldChar w:fldCharType="separate"/>
    </w:r>
    <w:r w:rsidR="00F11ACB">
      <w:rPr>
        <w:noProof/>
      </w:rPr>
      <w:t>3</w:t>
    </w:r>
    <w:r>
      <w:rPr>
        <w:noProof/>
      </w:rPr>
      <w:fldChar w:fldCharType="end"/>
    </w:r>
  </w:p>
  <w:p w:rsidR="00663D16" w:rsidRDefault="00F11ACB" w:rsidP="00663D1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1ACB">
      <w:r>
        <w:separator/>
      </w:r>
    </w:p>
  </w:footnote>
  <w:footnote w:type="continuationSeparator" w:id="0">
    <w:p w:rsidR="00000000" w:rsidRDefault="00F11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AC4"/>
    <w:multiLevelType w:val="hybridMultilevel"/>
    <w:tmpl w:val="DB981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50072"/>
    <w:multiLevelType w:val="hybridMultilevel"/>
    <w:tmpl w:val="9ADC50FA"/>
    <w:lvl w:ilvl="0" w:tplc="7010B2F2">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EF"/>
    <w:rsid w:val="00016EEF"/>
    <w:rsid w:val="002007CB"/>
    <w:rsid w:val="002423EF"/>
    <w:rsid w:val="004D7F9A"/>
    <w:rsid w:val="005F74DD"/>
    <w:rsid w:val="0086757B"/>
    <w:rsid w:val="00F1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8FAC2D-AE46-4204-830C-28689862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EF"/>
    <w:pPr>
      <w:spacing w:line="240" w:lineRule="auto"/>
    </w:pPr>
    <w:rPr>
      <w:rFonts w:ascii=".VnTime" w:eastAsia="Calibri" w:hAnsi=".VnTime" w:cs="Times New Roman"/>
    </w:rPr>
  </w:style>
  <w:style w:type="paragraph" w:styleId="Heading1">
    <w:name w:val="heading 1"/>
    <w:basedOn w:val="Normal"/>
    <w:link w:val="Heading1Char"/>
    <w:qFormat/>
    <w:rsid w:val="00016EEF"/>
    <w:pPr>
      <w:spacing w:before="100" w:beforeAutospacing="1" w:after="100" w:afterAutospacing="1"/>
      <w:outlineLvl w:val="0"/>
    </w:pPr>
    <w:rPr>
      <w:rFonts w:ascii="UTMSwiss721BlackCondensed" w:eastAsia="MS Mincho" w:hAnsi="UTMSwiss721BlackCondensed"/>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EEF"/>
    <w:rPr>
      <w:rFonts w:ascii="UTMSwiss721BlackCondensed" w:eastAsia="MS Mincho" w:hAnsi="UTMSwiss721BlackCondensed" w:cs="Times New Roman"/>
      <w:kern w:val="36"/>
      <w:sz w:val="30"/>
      <w:szCs w:val="30"/>
    </w:rPr>
  </w:style>
  <w:style w:type="paragraph" w:styleId="NormalWeb">
    <w:name w:val="Normal (Web)"/>
    <w:basedOn w:val="Normal"/>
    <w:rsid w:val="00016EEF"/>
    <w:pPr>
      <w:spacing w:before="100" w:beforeAutospacing="1" w:after="100" w:afterAutospacing="1"/>
    </w:pPr>
    <w:rPr>
      <w:rFonts w:ascii="Times New Roman" w:eastAsia="Times New Roman" w:hAnsi="Times New Roman"/>
      <w:sz w:val="24"/>
      <w:szCs w:val="24"/>
    </w:rPr>
  </w:style>
  <w:style w:type="character" w:styleId="Strong">
    <w:name w:val="Strong"/>
    <w:qFormat/>
    <w:rsid w:val="00016EEF"/>
    <w:rPr>
      <w:b/>
      <w:bCs/>
    </w:rPr>
  </w:style>
  <w:style w:type="paragraph" w:styleId="Footer">
    <w:name w:val="footer"/>
    <w:basedOn w:val="Normal"/>
    <w:link w:val="FooterChar"/>
    <w:uiPriority w:val="99"/>
    <w:rsid w:val="00016EEF"/>
    <w:pPr>
      <w:tabs>
        <w:tab w:val="center" w:pos="4320"/>
        <w:tab w:val="right" w:pos="8640"/>
      </w:tabs>
    </w:pPr>
    <w:rPr>
      <w:rFonts w:eastAsia="Times New Roman"/>
      <w:szCs w:val="28"/>
    </w:rPr>
  </w:style>
  <w:style w:type="character" w:customStyle="1" w:styleId="FooterChar">
    <w:name w:val="Footer Char"/>
    <w:basedOn w:val="DefaultParagraphFont"/>
    <w:link w:val="Footer"/>
    <w:uiPriority w:val="99"/>
    <w:rsid w:val="00016EEF"/>
    <w:rPr>
      <w:rFonts w:ascii=".VnTime" w:eastAsia="Times New Roman" w:hAnsi=".VnTime" w:cs="Times New Roman"/>
      <w:szCs w:val="28"/>
    </w:rPr>
  </w:style>
  <w:style w:type="character" w:styleId="PageNumber">
    <w:name w:val="page number"/>
    <w:basedOn w:val="DefaultParagraphFont"/>
    <w:rsid w:val="0001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576</Words>
  <Characters>3288</Characters>
  <Application>Microsoft Office Word</Application>
  <DocSecurity>0</DocSecurity>
  <Lines>27</Lines>
  <Paragraphs>7</Paragraphs>
  <ScaleCrop>false</ScaleCrop>
  <Company>Microsoft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2020-10-29T03:14:00Z</dcterms:created>
  <dcterms:modified xsi:type="dcterms:W3CDTF">2020-12-12T01:47:00Z</dcterms:modified>
</cp:coreProperties>
</file>